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3778" w14:textId="7638E3E1" w:rsidR="00FE7741" w:rsidRDefault="00A03186" w:rsidP="00BB6866">
      <w:pPr>
        <w:rPr>
          <w:sz w:val="28"/>
          <w:szCs w:val="28"/>
        </w:rPr>
      </w:pPr>
      <w:r w:rsidRPr="00A03186">
        <w:rPr>
          <w:sz w:val="28"/>
          <w:szCs w:val="28"/>
        </w:rPr>
        <w:t>Ordningsregler för boende i BRF Myrstacken</w:t>
      </w:r>
    </w:p>
    <w:p w14:paraId="7F8B207A" w14:textId="77777777" w:rsidR="00A9341B" w:rsidRPr="00A03186" w:rsidRDefault="00A9341B" w:rsidP="00BB6866">
      <w:pPr>
        <w:rPr>
          <w:sz w:val="28"/>
          <w:szCs w:val="28"/>
        </w:rPr>
      </w:pPr>
    </w:p>
    <w:p w14:paraId="56F161AD" w14:textId="5EBDEBE5" w:rsidR="00A03186" w:rsidRDefault="00A03186" w:rsidP="00BB6866">
      <w:r w:rsidRPr="00A03186">
        <w:rPr>
          <w:b/>
          <w:bCs/>
        </w:rPr>
        <w:t>Källsortering</w:t>
      </w:r>
      <w:r>
        <w:rPr>
          <w:b/>
          <w:bCs/>
        </w:rPr>
        <w:br/>
      </w:r>
      <w:r>
        <w:t xml:space="preserve">Alla sopor måste källsorteras. I våra kärl (soptunnor) får </w:t>
      </w:r>
      <w:r w:rsidR="00223322">
        <w:t>endast</w:t>
      </w:r>
      <w:r>
        <w:t xml:space="preserve"> brännbara hushållssopor (grön soptunna) och komposterbart matavfall (brun soptunna) kastas. Om </w:t>
      </w:r>
      <w:r w:rsidR="004419A4">
        <w:t>boende</w:t>
      </w:r>
      <w:r>
        <w:t xml:space="preserve"> inte sköter sopsorteringen kan Knivsta kommun debiteras </w:t>
      </w:r>
      <w:r w:rsidR="004419A4">
        <w:t>föreningen</w:t>
      </w:r>
      <w:r>
        <w:t xml:space="preserve"> för det.</w:t>
      </w:r>
    </w:p>
    <w:p w14:paraId="4B4AB487" w14:textId="75231E7B" w:rsidR="006221C5" w:rsidRDefault="006221C5" w:rsidP="006221C5">
      <w:r w:rsidRPr="00AB4FC9">
        <w:rPr>
          <w:b/>
          <w:bCs/>
        </w:rPr>
        <w:t>Balkong</w:t>
      </w:r>
      <w:r>
        <w:rPr>
          <w:b/>
          <w:bCs/>
        </w:rPr>
        <w:br/>
      </w:r>
      <w:r>
        <w:t xml:space="preserve">Boende ansvarar för löpande underhåll av </w:t>
      </w:r>
      <w:r w:rsidR="00B57BAF">
        <w:t xml:space="preserve">sin </w:t>
      </w:r>
      <w:r>
        <w:t>balkong som oljning av räcken och golv.</w:t>
      </w:r>
      <w:r>
        <w:br/>
        <w:t xml:space="preserve">Om det kommer stora mängder snö måste balkongerna skottas för de inte klarar av tyngden. Det är den boende som ansvarar för det. </w:t>
      </w:r>
      <w:r>
        <w:br/>
        <w:t xml:space="preserve">Endast en liten plaskpool för barn får fyllas </w:t>
      </w:r>
      <w:r w:rsidR="00FB7611">
        <w:t xml:space="preserve">och förvaras </w:t>
      </w:r>
      <w:r>
        <w:t xml:space="preserve">på balkongen </w:t>
      </w:r>
      <w:r w:rsidR="00FB7611">
        <w:t>men</w:t>
      </w:r>
      <w:r>
        <w:t xml:space="preserve"> när den töms måste den ske med slang till ett avlopp i lägenheten. </w:t>
      </w:r>
      <w:r w:rsidR="00055A91">
        <w:t>Stora mängder vatten</w:t>
      </w:r>
      <w:r>
        <w:t xml:space="preserve"> får inte hällas ut på balkongen eftersom det kan orsaka läckage till grannen under. Om du vill tvätta din balkong ska grannen nedanför informeras så att den kan skydda sin uteplats.</w:t>
      </w:r>
    </w:p>
    <w:p w14:paraId="2028762F" w14:textId="695E635E" w:rsidR="006221C5" w:rsidRDefault="006221C5" w:rsidP="00BB6866">
      <w:pPr>
        <w:rPr>
          <w:rFonts w:cs="Arial"/>
          <w:color w:val="202124"/>
          <w:shd w:val="clear" w:color="auto" w:fill="FFFFFF"/>
        </w:rPr>
      </w:pPr>
      <w:r w:rsidRPr="00AB1B7B">
        <w:rPr>
          <w:b/>
          <w:bCs/>
        </w:rPr>
        <w:t>Uteplats</w:t>
      </w:r>
      <w:r>
        <w:rPr>
          <w:b/>
          <w:bCs/>
        </w:rPr>
        <w:br/>
      </w:r>
      <w:r w:rsidRPr="006A2B1C">
        <w:t>Lägenhet med uteplats har skyldighet att sköta om</w:t>
      </w:r>
      <w:r>
        <w:t xml:space="preserve"> gräsmatta och växter på</w:t>
      </w:r>
      <w:r w:rsidRPr="006A2B1C">
        <w:t xml:space="preserve"> tomten</w:t>
      </w:r>
      <w:r>
        <w:t xml:space="preserve">. Det omfattar även staket och häck. Häcken får max vara 140 cm hög. </w:t>
      </w:r>
      <w:r>
        <w:rPr>
          <w:rFonts w:cs="Arial"/>
          <w:color w:val="202124"/>
          <w:shd w:val="clear" w:color="auto" w:fill="FFFFFF"/>
        </w:rPr>
        <w:t>Om tomten ligger i ett gatuhörn ska växter och staket inte</w:t>
      </w:r>
      <w:r w:rsidRPr="006E2CB9">
        <w:rPr>
          <w:rFonts w:cs="Arial"/>
          <w:color w:val="202124"/>
          <w:shd w:val="clear" w:color="auto" w:fill="FFFFFF"/>
        </w:rPr>
        <w:t> vara</w:t>
      </w:r>
      <w:r>
        <w:rPr>
          <w:rFonts w:cs="Arial"/>
          <w:color w:val="202124"/>
          <w:shd w:val="clear" w:color="auto" w:fill="FFFFFF"/>
        </w:rPr>
        <w:t> högre än 80 cm i en sikttriangel som sträcker sig minst 10 m åt vardera håll.</w:t>
      </w:r>
    </w:p>
    <w:p w14:paraId="511FE180" w14:textId="4BC61DAD" w:rsidR="006221C5" w:rsidRDefault="006221C5" w:rsidP="00BB6866">
      <w:r w:rsidRPr="00A559FF">
        <w:rPr>
          <w:b/>
          <w:bCs/>
        </w:rPr>
        <w:t>Ombyggnationer</w:t>
      </w:r>
      <w:r>
        <w:rPr>
          <w:b/>
          <w:bCs/>
        </w:rPr>
        <w:br/>
      </w:r>
      <w:r>
        <w:t xml:space="preserve">Ombyggnation av lägenheten </w:t>
      </w:r>
      <w:r w:rsidR="008A4221">
        <w:t xml:space="preserve">inomhus </w:t>
      </w:r>
      <w:r>
        <w:t>eller ändringar utomhus som påverkar fastighetens utseende ska alltid meddelas till styrelsen innan arbetet påbörjas. Exempel på det kan vara:</w:t>
      </w:r>
      <w:r>
        <w:br/>
        <w:t>- Uppsättning av markis. Här krävs ett godkännande av styrelsen.</w:t>
      </w:r>
      <w:r>
        <w:br/>
        <w:t>- Insynsskydd på uteplats på markplan. Här krävs ett godkännande av styrelsen.</w:t>
      </w:r>
      <w:r>
        <w:br/>
        <w:t>- Staket får sättas upp för avgränsande av tomt och ska se ut som befintliga staket.</w:t>
      </w:r>
      <w:r>
        <w:br/>
        <w:t>- Grind hos lägenheter med balkong.</w:t>
      </w:r>
    </w:p>
    <w:p w14:paraId="7652145C" w14:textId="0FD18399" w:rsidR="001A5FFE" w:rsidRDefault="00A03186" w:rsidP="00BB6866">
      <w:r w:rsidRPr="00A03186">
        <w:rPr>
          <w:b/>
          <w:bCs/>
        </w:rPr>
        <w:t>Husdjur</w:t>
      </w:r>
      <w:r>
        <w:rPr>
          <w:b/>
          <w:bCs/>
        </w:rPr>
        <w:br/>
      </w:r>
      <w:r>
        <w:t>Hundar får inte rastas</w:t>
      </w:r>
      <w:r w:rsidR="001A5FFE">
        <w:t xml:space="preserve"> (kissa och bajsa)</w:t>
      </w:r>
      <w:r>
        <w:t xml:space="preserve"> inom föreningens område</w:t>
      </w:r>
      <w:r w:rsidR="001A5FFE">
        <w:t>, vare sig vid tomter eller i den gemensamma skogsdungen.</w:t>
      </w:r>
      <w:r w:rsidR="001A5FFE">
        <w:br/>
        <w:t>Kattägare som låter sina katter vistas fritt utomhus har skyldighet att hjälpa till att rensa sandlådan i lekplatsen.</w:t>
      </w:r>
    </w:p>
    <w:p w14:paraId="52129E03" w14:textId="57B2B40D" w:rsidR="00B433F7" w:rsidRDefault="001A5FFE" w:rsidP="00BB6866">
      <w:r w:rsidRPr="001A5FFE">
        <w:rPr>
          <w:b/>
          <w:bCs/>
        </w:rPr>
        <w:t>Höga ljud och hög musik</w:t>
      </w:r>
      <w:r>
        <w:rPr>
          <w:b/>
          <w:bCs/>
        </w:rPr>
        <w:br/>
      </w:r>
      <w:r>
        <w:t xml:space="preserve">Våra hus är lyhörda och alla boende förväntas </w:t>
      </w:r>
      <w:r w:rsidR="00B03DD0">
        <w:t xml:space="preserve">att </w:t>
      </w:r>
      <w:r w:rsidR="0093778D">
        <w:t>visa hänsyn till sina grannar</w:t>
      </w:r>
      <w:r w:rsidR="002F49A6">
        <w:t xml:space="preserve">. </w:t>
      </w:r>
      <w:r w:rsidR="0093778D">
        <w:t xml:space="preserve"> </w:t>
      </w:r>
      <w:r w:rsidR="002F49A6">
        <w:t>F</w:t>
      </w:r>
      <w:r w:rsidR="00B03DD0">
        <w:t xml:space="preserve">rån </w:t>
      </w:r>
      <w:r w:rsidR="00B06934">
        <w:t xml:space="preserve">22:00 </w:t>
      </w:r>
      <w:r w:rsidR="00B433F7">
        <w:t>fram till 07:00 ska inte störande ljud förekomma. På helger gäller det mellan 23:00 fram till 08:00. Som störande ljud räknas t ex tvätt- och diskmaskin, hög musik eller tv-ljud, byggnadsarbete som medför högt ljud.</w:t>
      </w:r>
      <w:r w:rsidR="00121550">
        <w:t xml:space="preserve"> Undvik att </w:t>
      </w:r>
      <w:r w:rsidR="00F34D10">
        <w:t xml:space="preserve">springa i </w:t>
      </w:r>
      <w:r w:rsidR="002465C0">
        <w:t>entré</w:t>
      </w:r>
      <w:r w:rsidR="00F34D10">
        <w:t>trappan och att hoppa på balkongerna</w:t>
      </w:r>
      <w:r w:rsidR="002465C0">
        <w:t xml:space="preserve"> för det genererar oljud.</w:t>
      </w:r>
      <w:r w:rsidR="001650BD">
        <w:t xml:space="preserve"> </w:t>
      </w:r>
      <w:r w:rsidR="003E17B9">
        <w:t xml:space="preserve">Tänk på att det är stor skillnad på att bo i ett trähus </w:t>
      </w:r>
      <w:r w:rsidR="00EC3BB1">
        <w:t xml:space="preserve">i </w:t>
      </w:r>
      <w:r w:rsidR="006D4F9E">
        <w:t>j</w:t>
      </w:r>
      <w:r w:rsidR="00EC3BB1">
        <w:t>ämförelse med ett</w:t>
      </w:r>
      <w:r w:rsidR="006D4F9E">
        <w:t xml:space="preserve"> betonghus när det gäller hur mycket som hörs mellan våningarna.</w:t>
      </w:r>
      <w:r w:rsidR="00B433F7">
        <w:br/>
        <w:t>Planerar man att ha fest som pågår inpå natten så ska granna</w:t>
      </w:r>
      <w:r w:rsidR="00A559FF">
        <w:t>r</w:t>
      </w:r>
      <w:r w:rsidR="00B433F7">
        <w:t>na informeras om det minst en vecka i förväg.</w:t>
      </w:r>
    </w:p>
    <w:p w14:paraId="2AC36F51" w14:textId="77777777" w:rsidR="00E1626A" w:rsidRDefault="00E1626A">
      <w:pPr>
        <w:rPr>
          <w:b/>
          <w:bCs/>
        </w:rPr>
      </w:pPr>
      <w:r>
        <w:rPr>
          <w:b/>
          <w:bCs/>
        </w:rPr>
        <w:br w:type="page"/>
      </w:r>
    </w:p>
    <w:p w14:paraId="42E67CD5" w14:textId="473080A1" w:rsidR="00B433F7" w:rsidRDefault="00A559FF" w:rsidP="00BB6866">
      <w:r w:rsidRPr="00A559FF">
        <w:rPr>
          <w:b/>
          <w:bCs/>
        </w:rPr>
        <w:lastRenderedPageBreak/>
        <w:t>Gästparkering</w:t>
      </w:r>
      <w:r>
        <w:rPr>
          <w:b/>
          <w:bCs/>
        </w:rPr>
        <w:br/>
      </w:r>
      <w:r>
        <w:t xml:space="preserve">Föreningen har två gästparkeringar som är till för gäster som besöker de boende, inte de boende själva. </w:t>
      </w:r>
      <w:r w:rsidR="00B8683F">
        <w:t>Föreningen har ett antal extra parkeringsplatser som kan hyras av de boende.</w:t>
      </w:r>
      <w:r>
        <w:t xml:space="preserve"> Kontakta styrelsen för information</w:t>
      </w:r>
      <w:r w:rsidR="00B8683F">
        <w:t xml:space="preserve"> om det finns lediga platser</w:t>
      </w:r>
      <w:r>
        <w:t>.</w:t>
      </w:r>
    </w:p>
    <w:p w14:paraId="6B4C42A9" w14:textId="3D557985" w:rsidR="009D614F" w:rsidRDefault="003A4C01" w:rsidP="00BB6866">
      <w:r w:rsidRPr="003A4C01">
        <w:rPr>
          <w:b/>
          <w:bCs/>
        </w:rPr>
        <w:t>Snöskottning</w:t>
      </w:r>
      <w:r>
        <w:rPr>
          <w:b/>
          <w:bCs/>
        </w:rPr>
        <w:br/>
      </w:r>
      <w:r>
        <w:t xml:space="preserve">Föreningen har ett avtal med en firma som sköter snöskottning och sandning med traktor. </w:t>
      </w:r>
      <w:r w:rsidR="00895E7E">
        <w:br/>
      </w:r>
      <w:r>
        <w:t>De skottar/sandar inte där bilarna är parkerade</w:t>
      </w:r>
      <w:r w:rsidR="009D614F">
        <w:t>,</w:t>
      </w:r>
      <w:r>
        <w:t xml:space="preserve"> vid </w:t>
      </w:r>
      <w:r w:rsidR="009D614F">
        <w:t xml:space="preserve">entréer, vid postlådor eller soptunnor. De områdena är vi boende skyldiga att </w:t>
      </w:r>
      <w:r w:rsidR="00895E7E">
        <w:t xml:space="preserve">själva </w:t>
      </w:r>
      <w:r w:rsidR="009D614F">
        <w:t>skotta och sanda vid behov. Om det inte är skottat fram till soptunnorna så kommer dessa inte att tömmas av kommunen.</w:t>
      </w:r>
      <w:r w:rsidR="009D614F">
        <w:br/>
        <w:t>Snösläde finns att på förrådens kortsidor.</w:t>
      </w:r>
    </w:p>
    <w:p w14:paraId="6C5010AE" w14:textId="7E22170C" w:rsidR="009D614F" w:rsidRDefault="009D614F" w:rsidP="00BB6866">
      <w:r w:rsidRPr="009D614F">
        <w:rPr>
          <w:b/>
          <w:bCs/>
        </w:rPr>
        <w:t>Trivseldagar</w:t>
      </w:r>
      <w:r>
        <w:rPr>
          <w:b/>
          <w:bCs/>
        </w:rPr>
        <w:br/>
      </w:r>
      <w:r w:rsidRPr="009D614F">
        <w:t>Föreningen ordnar två trivseldagar per år.</w:t>
      </w:r>
      <w:r>
        <w:t xml:space="preserve"> Syftet med dagarna är att utföra enklare underhåll av våra gemensamma ytor </w:t>
      </w:r>
      <w:r w:rsidR="00895E7E">
        <w:t xml:space="preserve">utomhus </w:t>
      </w:r>
      <w:r>
        <w:t xml:space="preserve">och </w:t>
      </w:r>
      <w:r w:rsidR="00895E7E">
        <w:t xml:space="preserve">få tillfälle </w:t>
      </w:r>
      <w:r>
        <w:t xml:space="preserve">att </w:t>
      </w:r>
      <w:r w:rsidR="00E90463">
        <w:t>lära känna sina grannar. Alla boende förväntas deltaga och förhinder meddelas i förväg. De som inte deltar kan få en uppgift tilldelad i efterhand.</w:t>
      </w:r>
      <w:r w:rsidR="003C08D3">
        <w:t xml:space="preserve"> </w:t>
      </w:r>
      <w:r w:rsidR="00EE120F">
        <w:t>Tillsammans</w:t>
      </w:r>
      <w:r w:rsidR="003C08D3">
        <w:t xml:space="preserve"> skapar vi en trivsam </w:t>
      </w:r>
      <w:r w:rsidR="00EE120F">
        <w:t>utemiljö</w:t>
      </w:r>
      <w:r w:rsidR="003C08D3">
        <w:t xml:space="preserve"> so</w:t>
      </w:r>
      <w:r w:rsidR="00EE120F">
        <w:t>m höjer värdet på vårt boende.</w:t>
      </w:r>
    </w:p>
    <w:p w14:paraId="47207237" w14:textId="043B4BCE" w:rsidR="00EE120F" w:rsidRDefault="00EE120F" w:rsidP="00BB6866">
      <w:r w:rsidRPr="00EE120F">
        <w:rPr>
          <w:b/>
          <w:bCs/>
        </w:rPr>
        <w:t>Grillning</w:t>
      </w:r>
      <w:r>
        <w:rPr>
          <w:b/>
          <w:bCs/>
        </w:rPr>
        <w:br/>
      </w:r>
      <w:r w:rsidR="00B60375" w:rsidRPr="00B60375">
        <w:t>Det är tillåtet att grilla på uteplats och balkonger.</w:t>
      </w:r>
      <w:r w:rsidR="00B60375">
        <w:t xml:space="preserve"> Om du väljer att grilla med kolgrill ska den ställas så att rök</w:t>
      </w:r>
      <w:r w:rsidR="00A9341B">
        <w:t xml:space="preserve"> och lukt</w:t>
      </w:r>
      <w:r w:rsidR="00B60375">
        <w:t xml:space="preserve"> </w:t>
      </w:r>
      <w:r w:rsidR="00687D5B">
        <w:t xml:space="preserve">inte </w:t>
      </w:r>
      <w:r w:rsidR="00B60375">
        <w:t>stör dina grannar.</w:t>
      </w:r>
    </w:p>
    <w:p w14:paraId="1495A837" w14:textId="195B6358" w:rsidR="001A5FFE" w:rsidRPr="00A03186" w:rsidRDefault="00863923" w:rsidP="00BB6866">
      <w:r w:rsidRPr="00863923">
        <w:rPr>
          <w:b/>
          <w:bCs/>
        </w:rPr>
        <w:t xml:space="preserve">Grillplatsen i </w:t>
      </w:r>
      <w:r w:rsidR="00DA5908">
        <w:rPr>
          <w:b/>
          <w:bCs/>
        </w:rPr>
        <w:t>skogs</w:t>
      </w:r>
      <w:r w:rsidRPr="00863923">
        <w:rPr>
          <w:b/>
          <w:bCs/>
        </w:rPr>
        <w:t>dungen</w:t>
      </w:r>
      <w:r>
        <w:rPr>
          <w:b/>
          <w:bCs/>
        </w:rPr>
        <w:br/>
      </w:r>
      <w:r>
        <w:t xml:space="preserve">Grillplatsen är föreningens egendom och får utnyttjas av </w:t>
      </w:r>
      <w:r w:rsidR="00BC54DC">
        <w:t>alla</w:t>
      </w:r>
      <w:r>
        <w:t xml:space="preserve"> boende. </w:t>
      </w:r>
      <w:r w:rsidR="00BC54DC">
        <w:t>Det finns inget bokningssystem för de</w:t>
      </w:r>
      <w:r w:rsidR="00A9341B">
        <w:t>tta</w:t>
      </w:r>
      <w:r w:rsidR="00BC54DC">
        <w:t xml:space="preserve">. Den som använde grillplatsen ska se till att elden är </w:t>
      </w:r>
      <w:r w:rsidR="00AB4FC9">
        <w:t>släckt</w:t>
      </w:r>
      <w:r w:rsidR="00BC54DC">
        <w:t xml:space="preserve"> och att det är städat runt om</w:t>
      </w:r>
      <w:r w:rsidR="00AB4FC9">
        <w:t>kring grillplatsen när man lämnar den.</w:t>
      </w:r>
    </w:p>
    <w:p w14:paraId="26BEEC1B" w14:textId="7EA2934F" w:rsidR="00A03186" w:rsidRPr="00DA5908" w:rsidRDefault="00DA5908" w:rsidP="00BB6866">
      <w:pPr>
        <w:rPr>
          <w:b/>
          <w:bCs/>
        </w:rPr>
      </w:pPr>
      <w:r w:rsidRPr="00DA5908">
        <w:rPr>
          <w:b/>
          <w:bCs/>
        </w:rPr>
        <w:t>Skogsdungen</w:t>
      </w:r>
      <w:r>
        <w:rPr>
          <w:b/>
          <w:bCs/>
        </w:rPr>
        <w:br/>
      </w:r>
      <w:r w:rsidRPr="00DA5908">
        <w:t>Skog</w:t>
      </w:r>
      <w:r>
        <w:t>sdungen är föreningen gemensamma trädgård</w:t>
      </w:r>
      <w:r w:rsidR="00F9579D">
        <w:t>. Här får man plantera och göra det fint. Det finns rabarber</w:t>
      </w:r>
      <w:r w:rsidR="00AF14A3">
        <w:t>, jordgubbar och bärbuskar som alla får nyttja.</w:t>
      </w:r>
      <w:r w:rsidR="00B00096">
        <w:t xml:space="preserve"> </w:t>
      </w:r>
      <w:r w:rsidR="00E03061">
        <w:t>U</w:t>
      </w:r>
      <w:r w:rsidR="00AF14A3">
        <w:t>tanför förråde</w:t>
      </w:r>
      <w:r w:rsidR="00E03061">
        <w:t>n</w:t>
      </w:r>
      <w:r w:rsidR="00AF14A3">
        <w:t xml:space="preserve"> </w:t>
      </w:r>
      <w:r w:rsidR="00B00096">
        <w:t>tillhörande hus</w:t>
      </w:r>
      <w:r w:rsidR="00AF14A3">
        <w:t xml:space="preserve"> 35</w:t>
      </w:r>
      <w:r w:rsidR="00F93646">
        <w:t xml:space="preserve"> och </w:t>
      </w:r>
      <w:r w:rsidR="00AF14A3">
        <w:t>37</w:t>
      </w:r>
      <w:r w:rsidR="00B00096">
        <w:t xml:space="preserve"> </w:t>
      </w:r>
      <w:r w:rsidR="00E03061">
        <w:t xml:space="preserve">finns en gräsklippare </w:t>
      </w:r>
      <w:r w:rsidR="00B00096">
        <w:t>som kan användas till att klippa gräs</w:t>
      </w:r>
      <w:r w:rsidR="000E59C7">
        <w:t>et</w:t>
      </w:r>
      <w:r w:rsidR="00B00096">
        <w:t xml:space="preserve"> i dungen</w:t>
      </w:r>
      <w:r w:rsidR="000E59C7">
        <w:t xml:space="preserve">. Det är de boende som tillsammans ansvarar för att </w:t>
      </w:r>
      <w:r w:rsidR="00681CAD">
        <w:t>dungen hålls snygg.</w:t>
      </w:r>
    </w:p>
    <w:p w14:paraId="78E17125" w14:textId="77777777" w:rsidR="00A03186" w:rsidRPr="00BB6866" w:rsidRDefault="00A03186" w:rsidP="00BB6866"/>
    <w:sectPr w:rsidR="00A03186" w:rsidRPr="00BB6866" w:rsidSect="006D2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A03186"/>
    <w:rsid w:val="00016176"/>
    <w:rsid w:val="00055A91"/>
    <w:rsid w:val="00063358"/>
    <w:rsid w:val="000E59C7"/>
    <w:rsid w:val="00121550"/>
    <w:rsid w:val="00151743"/>
    <w:rsid w:val="001650BD"/>
    <w:rsid w:val="001A5FFE"/>
    <w:rsid w:val="001D5C9F"/>
    <w:rsid w:val="00223322"/>
    <w:rsid w:val="002465C0"/>
    <w:rsid w:val="00294EC6"/>
    <w:rsid w:val="002F49A6"/>
    <w:rsid w:val="0032288E"/>
    <w:rsid w:val="00366405"/>
    <w:rsid w:val="003A4C01"/>
    <w:rsid w:val="003C08D3"/>
    <w:rsid w:val="003E17B9"/>
    <w:rsid w:val="00413FC6"/>
    <w:rsid w:val="004419A4"/>
    <w:rsid w:val="004950AA"/>
    <w:rsid w:val="004B62CD"/>
    <w:rsid w:val="005145FE"/>
    <w:rsid w:val="00542F90"/>
    <w:rsid w:val="006221C5"/>
    <w:rsid w:val="00681CAD"/>
    <w:rsid w:val="00687D5B"/>
    <w:rsid w:val="006A2B1C"/>
    <w:rsid w:val="006D2810"/>
    <w:rsid w:val="006D4F9E"/>
    <w:rsid w:val="006E2CB9"/>
    <w:rsid w:val="00706C75"/>
    <w:rsid w:val="0071187B"/>
    <w:rsid w:val="00863923"/>
    <w:rsid w:val="0088248D"/>
    <w:rsid w:val="00895E7E"/>
    <w:rsid w:val="008A4221"/>
    <w:rsid w:val="008A49CF"/>
    <w:rsid w:val="008C5E92"/>
    <w:rsid w:val="008E095A"/>
    <w:rsid w:val="00933B2C"/>
    <w:rsid w:val="0093778D"/>
    <w:rsid w:val="00952373"/>
    <w:rsid w:val="009812BE"/>
    <w:rsid w:val="009D614F"/>
    <w:rsid w:val="00A03186"/>
    <w:rsid w:val="00A559FF"/>
    <w:rsid w:val="00A9341B"/>
    <w:rsid w:val="00AB1B7B"/>
    <w:rsid w:val="00AB4FC9"/>
    <w:rsid w:val="00AF14A3"/>
    <w:rsid w:val="00B00096"/>
    <w:rsid w:val="00B03DD0"/>
    <w:rsid w:val="00B06934"/>
    <w:rsid w:val="00B433F7"/>
    <w:rsid w:val="00B57BAF"/>
    <w:rsid w:val="00B60375"/>
    <w:rsid w:val="00B8683F"/>
    <w:rsid w:val="00BB6866"/>
    <w:rsid w:val="00BC54DC"/>
    <w:rsid w:val="00BF77E5"/>
    <w:rsid w:val="00C82746"/>
    <w:rsid w:val="00CE4CCA"/>
    <w:rsid w:val="00DA5908"/>
    <w:rsid w:val="00E01F8F"/>
    <w:rsid w:val="00E03061"/>
    <w:rsid w:val="00E1626A"/>
    <w:rsid w:val="00E90463"/>
    <w:rsid w:val="00EC3BB1"/>
    <w:rsid w:val="00EE120F"/>
    <w:rsid w:val="00F34D10"/>
    <w:rsid w:val="00F93646"/>
    <w:rsid w:val="00F9579D"/>
    <w:rsid w:val="00FA4DC9"/>
    <w:rsid w:val="00FB0402"/>
    <w:rsid w:val="00FB7611"/>
    <w:rsid w:val="00FE77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13A1"/>
  <w15:chartTrackingRefBased/>
  <w15:docId w15:val="{EE2878F3-7019-41C5-8443-82124BCB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810"/>
  </w:style>
  <w:style w:type="paragraph" w:styleId="Rubrik1">
    <w:name w:val="heading 1"/>
    <w:basedOn w:val="Normal"/>
    <w:next w:val="Normal"/>
    <w:link w:val="Rubrik1Char"/>
    <w:uiPriority w:val="9"/>
    <w:qFormat/>
    <w:rsid w:val="00151743"/>
    <w:pPr>
      <w:keepNext/>
      <w:keepLines/>
      <w:spacing w:before="480" w:after="0"/>
      <w:outlineLvl w:val="0"/>
    </w:pPr>
    <w:rPr>
      <w:rFonts w:eastAsiaTheme="majorEastAsia" w:cstheme="majorBidi"/>
      <w:b/>
      <w:bCs/>
      <w:sz w:val="28"/>
      <w:szCs w:val="28"/>
    </w:rPr>
  </w:style>
  <w:style w:type="paragraph" w:styleId="Rubrik2">
    <w:name w:val="heading 2"/>
    <w:basedOn w:val="Normal"/>
    <w:next w:val="Normal"/>
    <w:link w:val="Rubrik2Char"/>
    <w:uiPriority w:val="9"/>
    <w:semiHidden/>
    <w:unhideWhenUsed/>
    <w:qFormat/>
    <w:rsid w:val="00151743"/>
    <w:pPr>
      <w:keepNext/>
      <w:keepLines/>
      <w:spacing w:before="200" w:after="0"/>
      <w:outlineLvl w:val="1"/>
    </w:pPr>
    <w:rPr>
      <w:rFonts w:eastAsiaTheme="majorEastAsia" w:cstheme="majorBidi"/>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semiHidden/>
    <w:rsid w:val="00151743"/>
    <w:rPr>
      <w:rFonts w:ascii="Arial" w:eastAsiaTheme="majorEastAsia" w:hAnsi="Arial" w:cstheme="majorBidi"/>
      <w:b/>
      <w:bCs/>
      <w:szCs w:val="26"/>
    </w:rPr>
  </w:style>
  <w:style w:type="character" w:customStyle="1" w:styleId="Rubrik1Char">
    <w:name w:val="Rubrik 1 Char"/>
    <w:basedOn w:val="Standardstycketeckensnitt"/>
    <w:link w:val="Rubrik1"/>
    <w:uiPriority w:val="9"/>
    <w:rsid w:val="00151743"/>
    <w:rPr>
      <w:rFonts w:ascii="Arial" w:eastAsiaTheme="majorEastAsia" w:hAnsi="Arial" w:cstheme="majorBidi"/>
      <w:b/>
      <w:bCs/>
      <w:sz w:val="28"/>
      <w:szCs w:val="28"/>
    </w:rPr>
  </w:style>
  <w:style w:type="table" w:styleId="Ljuslista-dekorfrg1">
    <w:name w:val="Light List Accent 1"/>
    <w:aliases w:val="Equalis tabell"/>
    <w:basedOn w:val="Normaltabell"/>
    <w:uiPriority w:val="61"/>
    <w:rsid w:val="00FA4DC9"/>
    <w:pPr>
      <w:spacing w:after="0" w:line="240" w:lineRule="auto"/>
    </w:p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tblStylePr w:type="firstRow">
      <w:pPr>
        <w:spacing w:before="0" w:after="0" w:line="240" w:lineRule="auto"/>
      </w:pPr>
      <w:rPr>
        <w:rFonts w:ascii="Arial" w:hAnsi="Arial"/>
        <w:b/>
        <w:bCs/>
        <w:color w:val="FFFFFF" w:themeColor="background1"/>
        <w:sz w:val="22"/>
      </w:rPr>
      <w:tblPr/>
      <w:tcPr>
        <w:tcBorders>
          <w:top w:val="single" w:sz="4" w:space="0" w:color="006EAB" w:themeColor="accent1"/>
          <w:left w:val="single" w:sz="4" w:space="0" w:color="006EAB" w:themeColor="accent1"/>
          <w:bottom w:val="single" w:sz="4" w:space="0" w:color="006EAB" w:themeColor="accent1"/>
          <w:right w:val="single" w:sz="4" w:space="0" w:color="006EAB" w:themeColor="accent1"/>
          <w:insideH w:val="nil"/>
          <w:insideV w:val="nil"/>
          <w:tl2br w:val="nil"/>
          <w:tr2bl w:val="nil"/>
        </w:tcBorders>
        <w:shd w:val="clear" w:color="auto" w:fill="006EAB" w:themeFill="accent1"/>
      </w:tcPr>
    </w:tblStylePr>
    <w:tblStylePr w:type="lastRow">
      <w:pPr>
        <w:spacing w:before="0" w:after="0" w:line="240" w:lineRule="auto"/>
      </w:pPr>
      <w:rPr>
        <w:b/>
        <w:bCs/>
      </w:rPr>
      <w:tblPr/>
      <w:tcPr>
        <w:tcBorders>
          <w:top w:val="double" w:sz="6" w:space="0" w:color="006EAB" w:themeColor="accent1"/>
          <w:left w:val="single" w:sz="8" w:space="0" w:color="006EAB" w:themeColor="accent1"/>
          <w:bottom w:val="single" w:sz="8" w:space="0" w:color="006EAB" w:themeColor="accent1"/>
          <w:right w:val="single" w:sz="8" w:space="0" w:color="006EAB" w:themeColor="accent1"/>
        </w:tcBorders>
      </w:tcPr>
    </w:tblStylePr>
    <w:tblStylePr w:type="firstCol">
      <w:rPr>
        <w:b/>
        <w:bCs/>
      </w:rPr>
    </w:tblStylePr>
    <w:tblStylePr w:type="lastCol">
      <w:rPr>
        <w:b/>
        <w:bCs/>
      </w:rPr>
    </w:tblStylePr>
    <w:tblStylePr w:type="band1Vert">
      <w:tblPr/>
      <w:tcPr>
        <w:tcBorders>
          <w:top w:val="single" w:sz="8" w:space="0" w:color="006EAB" w:themeColor="accent1"/>
          <w:left w:val="single" w:sz="8" w:space="0" w:color="006EAB" w:themeColor="accent1"/>
          <w:bottom w:val="single" w:sz="8" w:space="0" w:color="006EAB" w:themeColor="accent1"/>
          <w:right w:val="single" w:sz="8" w:space="0" w:color="006EAB" w:themeColor="accent1"/>
        </w:tcBorders>
      </w:tcPr>
    </w:tblStylePr>
    <w:tblStylePr w:type="band1Horz">
      <w:tblPr/>
      <w:tcPr>
        <w:tcBorders>
          <w:top w:val="single" w:sz="8" w:space="0" w:color="006EAB" w:themeColor="accent1"/>
          <w:left w:val="single" w:sz="8" w:space="0" w:color="006EAB" w:themeColor="accent1"/>
          <w:bottom w:val="single" w:sz="8" w:space="0" w:color="006EAB" w:themeColor="accent1"/>
          <w:right w:val="single" w:sz="8" w:space="0" w:color="006EAB" w:themeColor="accent1"/>
        </w:tcBorders>
      </w:tcPr>
    </w:tblStylePr>
  </w:style>
  <w:style w:type="table" w:customStyle="1" w:styleId="Equalis">
    <w:name w:val="Equalis"/>
    <w:basedOn w:val="Normaltabell"/>
    <w:uiPriority w:val="99"/>
    <w:qFormat/>
    <w:rsid w:val="00952373"/>
    <w:pPr>
      <w:spacing w:after="0" w:line="240" w:lineRule="auto"/>
    </w:pPr>
    <w:tblPr>
      <w:tblBorders>
        <w:top w:val="single" w:sz="4" w:space="0" w:color="9A9A9A" w:themeColor="accent2"/>
        <w:left w:val="single" w:sz="4" w:space="0" w:color="9A9A9A" w:themeColor="accent2"/>
        <w:bottom w:val="single" w:sz="4" w:space="0" w:color="9A9A9A" w:themeColor="accent2"/>
        <w:right w:val="single" w:sz="4" w:space="0" w:color="9A9A9A" w:themeColor="accent2"/>
        <w:insideH w:val="single" w:sz="4" w:space="0" w:color="9A9A9A" w:themeColor="accent2"/>
        <w:insideV w:val="single" w:sz="4" w:space="0" w:color="9A9A9A" w:themeColor="accent2"/>
      </w:tblBorders>
    </w:tblPr>
    <w:tblStylePr w:type="firstRow">
      <w:rPr>
        <w:rFonts w:ascii="Arial" w:hAnsi="Arial"/>
        <w:b/>
        <w:color w:val="FFFFFF" w:themeColor="background1"/>
        <w:sz w:val="22"/>
      </w:rPr>
      <w:tblPr/>
      <w:tcPr>
        <w:tcBorders>
          <w:top w:val="single" w:sz="4" w:space="0" w:color="006EAB" w:themeColor="text2"/>
          <w:left w:val="single" w:sz="4" w:space="0" w:color="006EAB" w:themeColor="text2"/>
          <w:bottom w:val="single" w:sz="4" w:space="0" w:color="006EAB" w:themeColor="text2"/>
          <w:right w:val="single" w:sz="4" w:space="0" w:color="006EAB" w:themeColor="text2"/>
          <w:insideH w:val="nil"/>
          <w:insideV w:val="nil"/>
          <w:tl2br w:val="nil"/>
          <w:tr2bl w:val="nil"/>
        </w:tcBorders>
        <w:shd w:val="clear" w:color="auto" w:fill="006EAB" w:themeFill="text2"/>
      </w:tcPr>
    </w:tblStylePr>
  </w:style>
  <w:style w:type="table" w:customStyle="1" w:styleId="Equalisgr">
    <w:name w:val="Equalis_grå"/>
    <w:basedOn w:val="Equalis"/>
    <w:uiPriority w:val="99"/>
    <w:qFormat/>
    <w:rsid w:val="00542F90"/>
    <w:tblPr/>
    <w:tblStylePr w:type="firstRow">
      <w:rPr>
        <w:rFonts w:ascii="Arial" w:hAnsi="Arial"/>
        <w:b/>
        <w:color w:val="FFFFFF" w:themeColor="background1"/>
        <w:sz w:val="22"/>
      </w:rPr>
      <w:tblPr/>
      <w:tcPr>
        <w:tcBorders>
          <w:top w:val="single" w:sz="4" w:space="0" w:color="006EAB" w:themeColor="text2"/>
          <w:left w:val="single" w:sz="4" w:space="0" w:color="006EAB" w:themeColor="text2"/>
          <w:bottom w:val="single" w:sz="4" w:space="0" w:color="006EAB" w:themeColor="text2"/>
          <w:right w:val="single" w:sz="4" w:space="0" w:color="006EAB" w:themeColor="text2"/>
          <w:insideH w:val="nil"/>
          <w:insideV w:val="nil"/>
          <w:tl2br w:val="nil"/>
          <w:tr2bl w:val="nil"/>
        </w:tcBorders>
        <w:shd w:val="clear" w:color="auto" w:fill="006EAB" w:themeFill="text2"/>
      </w:tcPr>
    </w:tblStylePr>
    <w:tblStylePr w:type="lastCol">
      <w:pPr>
        <w:jc w:val="left"/>
      </w:pPr>
      <w:rPr>
        <w:rFonts w:ascii="Arial" w:hAnsi="Arial"/>
        <w:sz w:val="22"/>
      </w:rPr>
      <w:tblPr/>
      <w:tcPr>
        <w:tcBorders>
          <w:top w:val="single" w:sz="4" w:space="0" w:color="D3D3D3"/>
          <w:left w:val="single" w:sz="4" w:space="0" w:color="D3D3D3"/>
          <w:bottom w:val="single" w:sz="4" w:space="0" w:color="D3D3D3"/>
          <w:right w:val="single" w:sz="4" w:space="0" w:color="D3D3D3"/>
          <w:insideH w:val="nil"/>
          <w:insideV w:val="nil"/>
          <w:tl2br w:val="nil"/>
          <w:tr2bl w:val="nil"/>
        </w:tcBorders>
        <w:shd w:val="pct20" w:color="auto" w:fill="E2E2E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Equalis2">
  <a:themeElements>
    <a:clrScheme name="Equalis 1">
      <a:dk1>
        <a:sysClr val="windowText" lastClr="000000"/>
      </a:dk1>
      <a:lt1>
        <a:sysClr val="window" lastClr="FFFFFF"/>
      </a:lt1>
      <a:dk2>
        <a:srgbClr val="006EAB"/>
      </a:dk2>
      <a:lt2>
        <a:srgbClr val="FFFFFF"/>
      </a:lt2>
      <a:accent1>
        <a:srgbClr val="006EAB"/>
      </a:accent1>
      <a:accent2>
        <a:srgbClr val="9A9A9A"/>
      </a:accent2>
      <a:accent3>
        <a:srgbClr val="D06800"/>
      </a:accent3>
      <a:accent4>
        <a:srgbClr val="7E0081"/>
      </a:accent4>
      <a:accent5>
        <a:srgbClr val="88AB2D"/>
      </a:accent5>
      <a:accent6>
        <a:srgbClr val="F5CC21"/>
      </a:accent6>
      <a:hlink>
        <a:srgbClr val="006EAB"/>
      </a:hlink>
      <a:folHlink>
        <a:srgbClr val="008698"/>
      </a:folHlink>
    </a:clrScheme>
    <a:fontScheme name="Equalis typsnitt 1">
      <a:majorFont>
        <a:latin typeface="Arial"/>
        <a:ea typeface=""/>
        <a:cs typeface=""/>
      </a:majorFont>
      <a:minorFont>
        <a:latin typeface="Arial"/>
        <a:ea typeface=""/>
        <a:cs typeface=""/>
      </a:minorFont>
    </a:fontScheme>
    <a:fmtScheme name="Modu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693</Words>
  <Characters>3678</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Portin</dc:creator>
  <cp:keywords/>
  <dc:description/>
  <cp:lastModifiedBy>Christine Portin</cp:lastModifiedBy>
  <cp:revision>55</cp:revision>
  <dcterms:created xsi:type="dcterms:W3CDTF">2022-01-25T15:30:00Z</dcterms:created>
  <dcterms:modified xsi:type="dcterms:W3CDTF">2022-01-26T15:32:00Z</dcterms:modified>
</cp:coreProperties>
</file>