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Information vid försäljning BRF Skapa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sz w:val="26"/>
          <w:szCs w:val="26"/>
        </w:rPr>
      </w:pPr>
      <w:r w:rsidDel="00000000" w:rsidR="00000000" w:rsidRPr="00000000">
        <w:rPr>
          <w:rFonts w:ascii="Lato" w:cs="Lato" w:eastAsia="Lato" w:hAnsi="Lato"/>
          <w:sz w:val="26"/>
          <w:szCs w:val="26"/>
          <w:rtl w:val="0"/>
        </w:rPr>
        <w:t xml:space="preserve">Till er som skall sälja och mäklaren som skall annonsera objektet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Viktig information till säljare och mäklare vid överlåtelse/försäljning av lägenhet!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Tillsyn av lägenhet vid försäljning: </w:t>
      </w:r>
      <w:r w:rsidDel="00000000" w:rsidR="00000000" w:rsidRPr="00000000">
        <w:rPr>
          <w:rFonts w:ascii="Lato" w:cs="Lato" w:eastAsia="Lato" w:hAnsi="Lato"/>
          <w:rtl w:val="0"/>
        </w:rPr>
        <w:t xml:space="preserve">Vid lägenhetsförsäljning/överlåtelse måste säljaren i god tid beställa tillsyn av lägenheten hos styrelsen. Syftet med tillsynen är att kontrollera de delar föreningen står ansvarig för och att inga ombyggnationer som går emot i föreningen gällande regler har gjorts. Observera att tillsynen inte är en besiktning!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Utförs av Sekant på uppdrag av styrelsen, som bekostar tillsynen. </w:t>
      </w:r>
      <w:r w:rsidDel="00000000" w:rsidR="00000000" w:rsidRPr="00000000">
        <w:rPr>
          <w:rFonts w:ascii="Lato" w:cs="Lato" w:eastAsia="Lato" w:hAnsi="Lato"/>
          <w:rtl w:val="0"/>
        </w:rPr>
        <w:t xml:space="preserve">Styrelsen kommer inte att godkänna några lägenhetsöverlåtelser innan tillsynen är utförd och eventuella åtgärder vidtagits eller planlagts. </w:t>
      </w:r>
      <w:r w:rsidDel="00000000" w:rsidR="00000000" w:rsidRPr="00000000">
        <w:rPr>
          <w:rFonts w:ascii="Lato" w:cs="Lato" w:eastAsia="Lato" w:hAnsi="Lato"/>
          <w:rtl w:val="0"/>
        </w:rPr>
        <w:t xml:space="preserve">Det är upp till respektive köpare att anlita en besiktningsman om man inte själv har kunskaper att avgöra skick och status på lägenheten.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Medlemsansökan till bostadsrättsföreningen skall göras via SMOOT.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Bostadsrättsföreningen Skapa bildades 2019 i samband med byggnationen som stod klar 2021. Det är en äkta förening. Föreningen består av ett flerbostadshus om 68 bostadsrätter samt 1 lokal med adresserna Industrigatan 10B, Spårvägen 16A-C samt 18-20 som </w:t>
      </w:r>
      <w:r w:rsidDel="00000000" w:rsidR="00000000" w:rsidRPr="00000000">
        <w:rPr>
          <w:rFonts w:ascii="Lato" w:cs="Lato" w:eastAsia="Lato" w:hAnsi="Lato"/>
          <w:rtl w:val="0"/>
        </w:rPr>
        <w:t xml:space="preserve">uppförts</w:t>
      </w:r>
      <w:r w:rsidDel="00000000" w:rsidR="00000000" w:rsidRPr="00000000">
        <w:rPr>
          <w:rFonts w:ascii="Lato" w:cs="Lato" w:eastAsia="Lato" w:hAnsi="Lato"/>
          <w:rtl w:val="0"/>
        </w:rPr>
        <w:t xml:space="preserve"> på uppdrag av Ikano Bostadsproduktion AB. Föreningen äger marken (ej tomträtt). Den ekonomiska förvaltningen sköts av Nabo. Fastighetsskötsel av Sekant.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Genomförda renoveringar: Finns inga då huset är nybyggt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Kommande renoveringar: Finns inga då huset är nybyggt.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2 års besiktning har utförts under oktober 2023.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Avgiftsförändringar: Från 1 februari 2024 höjdes avgiften med 5%.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Pantsättningsavgift: 1,5 % av ett prisbasbelopp per lånenummer betalas av köparen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Överlåtelseavgift: 3,5 %  av ett prisbasbelopp betalas av säljaren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Delat ägande: Föreningen godkänner delat ägande. Minsta ägarandel är 10%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Juridisk person: Föreningen godkänner inte juridisk person som medlem.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Varmvatten: ingår i avgiften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El: Debiteras efter förbrukning via eget abonnemang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Kabel-TV/Internet: Föreningen har gruppavtal för TV/bredband/telefoni med Tele2, tillkommer som ett obligatoriskt tillägg om 135  kr/månad för basutbudet av TV och bredband 100/100, vilket kan uppgraderas mot extra kostnad och samtalskostnad tillkommer.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Tvättstuga: Varje lägenhet har egen tvätt- och torktumlare eller kombimaskin.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Parkering: Föreningen har inget eget garage eller egna parkeringsplatser förutom en p-plats för rörelsehindrade. P-huset Elina finns i närområdet, parkering där kan ej lösas via föreningen.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Bilpool: Volvo on Demand, ingår i medlemskapet, registrering med rabattkod som fås via föreningen. 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Hiss: finns i alla trapphus. 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Förråd: Till varje lägenhet hör ett källarförråd.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Gemensamhetsutrymmen: Innergård och källare med cykelparkering, verkstad och förråd.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Försäkring: I föreningens försäkring ingår bostadsrättstillägg för samtliga medlemmar. 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Övrigt: Det finns möjlighet att låna cykelkärra och gemensam stege i huset. Huset har energiklass B vilket ger möjlighet till grönt lån hos flesta banker. Cykeln går att ställa i cykelställ utanför huset och i källaren.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Sophantering: På området finns gemensam avfallshantering med nedgrävda sopkärl. Alla lägenheter har avfallskvarn i köket.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För balkong: Inom bostadsrätten (ytskikt golv, insida räcke): Innehavaren beslutar och bekostar. Utanför bostadsrätten: (Utsida räcke, själva räcket, inglasning, ev tak): Föreningen beslutar och bekostar UH men ej ny-investeringar.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